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66"/>
        <w:tblW w:w="8556" w:type="dxa"/>
        <w:tblLook w:val="04A0"/>
      </w:tblPr>
      <w:tblGrid>
        <w:gridCol w:w="4278"/>
        <w:gridCol w:w="4278"/>
      </w:tblGrid>
      <w:tr w:rsidR="00D27CA0" w:rsidRPr="004A7F47" w:rsidTr="005B5FDE">
        <w:trPr>
          <w:trHeight w:hRule="exact" w:val="466"/>
        </w:trPr>
        <w:tc>
          <w:tcPr>
            <w:tcW w:w="4278" w:type="dxa"/>
            <w:shd w:val="clear" w:color="auto" w:fill="auto"/>
          </w:tcPr>
          <w:p w:rsidR="00D27CA0" w:rsidRDefault="005B5FDE" w:rsidP="00D27CA0">
            <w:pPr>
              <w:spacing w:after="100" w:line="276" w:lineRule="auto"/>
              <w:rPr>
                <w:rFonts w:ascii="Trebuchet MS" w:hAnsi="Trebuchet MS" w:cs="Consolas"/>
              </w:rPr>
            </w:pPr>
            <w:r w:rsidRPr="005B5FDE">
              <w:rPr>
                <w:rFonts w:ascii="Trebuchet MS" w:hAnsi="Trebuchet MS" w:cs="Consolas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-1636790</wp:posOffset>
                  </wp:positionH>
                  <wp:positionV relativeFrom="paragraph">
                    <wp:posOffset>-1599062</wp:posOffset>
                  </wp:positionV>
                  <wp:extent cx="7591724" cy="1268083"/>
                  <wp:effectExtent l="19050" t="0" r="6350" b="0"/>
                  <wp:wrapNone/>
                  <wp:docPr id="17" name="Picture 17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5FDE" w:rsidRPr="00C42E4F" w:rsidRDefault="005B5FDE" w:rsidP="00D27CA0">
            <w:pPr>
              <w:spacing w:after="100" w:line="276" w:lineRule="auto"/>
              <w:rPr>
                <w:rFonts w:ascii="Trebuchet MS" w:hAnsi="Trebuchet MS" w:cs="Consolas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D27CA0" w:rsidRPr="004A7F47" w:rsidRDefault="00D27CA0" w:rsidP="0010627D">
            <w:pPr>
              <w:spacing w:after="100" w:line="276" w:lineRule="auto"/>
              <w:rPr>
                <w:rFonts w:ascii="Trebuchet MS" w:hAnsi="Trebuchet MS" w:cs="Consolas"/>
                <w:sz w:val="18"/>
                <w:szCs w:val="18"/>
              </w:rPr>
            </w:pPr>
          </w:p>
        </w:tc>
      </w:tr>
      <w:tr w:rsidR="00D27CA0" w:rsidRPr="004A7F47" w:rsidTr="005B5FDE">
        <w:trPr>
          <w:trHeight w:hRule="exact" w:val="466"/>
        </w:trPr>
        <w:tc>
          <w:tcPr>
            <w:tcW w:w="4278" w:type="dxa"/>
            <w:shd w:val="clear" w:color="auto" w:fill="auto"/>
          </w:tcPr>
          <w:p w:rsidR="00D27CA0" w:rsidRPr="00C42E4F" w:rsidRDefault="00D27CA0" w:rsidP="0010627D">
            <w:pPr>
              <w:spacing w:after="100" w:line="276" w:lineRule="auto"/>
              <w:rPr>
                <w:rFonts w:ascii="Trebuchet MS" w:hAnsi="Trebuchet MS" w:cs="Consolas"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:rsidR="00D27CA0" w:rsidRPr="004A7F47" w:rsidRDefault="00D27CA0" w:rsidP="0010627D">
            <w:pPr>
              <w:spacing w:after="100" w:line="276" w:lineRule="auto"/>
              <w:rPr>
                <w:rFonts w:ascii="Trebuchet MS" w:hAnsi="Trebuchet MS" w:cs="Consolas"/>
                <w:sz w:val="18"/>
                <w:szCs w:val="18"/>
              </w:rPr>
            </w:pPr>
          </w:p>
        </w:tc>
      </w:tr>
    </w:tbl>
    <w:p w:rsidR="005B5FDE" w:rsidRDefault="00EC37EB" w:rsidP="005B5FDE">
      <w:pPr>
        <w:tabs>
          <w:tab w:val="left" w:pos="0"/>
        </w:tabs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color w:val="000000" w:themeColor="text1"/>
          <w:sz w:val="28"/>
          <w:szCs w:val="28"/>
        </w:rPr>
        <w:t>ACTE NO</w:t>
      </w:r>
      <w:r w:rsidRPr="005B5FDE">
        <w:rPr>
          <w:rFonts w:ascii="Trebuchet MS" w:hAnsi="Trebuchet MS"/>
          <w:b/>
          <w:color w:val="000000" w:themeColor="text1"/>
          <w:sz w:val="28"/>
          <w:szCs w:val="28"/>
        </w:rPr>
        <w:t>RMATIVE</w:t>
      </w:r>
      <w:r w:rsidRPr="005B5FDE">
        <w:rPr>
          <w:rStyle w:val="apple-converted-space"/>
          <w:rFonts w:ascii="Trebuchet MS" w:hAnsi="Trebuchet MS"/>
          <w:b/>
          <w:sz w:val="28"/>
          <w:szCs w:val="28"/>
        </w:rPr>
        <w:t> </w:t>
      </w:r>
      <w:r w:rsidRPr="005B5FDE">
        <w:rPr>
          <w:rFonts w:ascii="Trebuchet MS" w:hAnsi="Trebuchet MS"/>
          <w:b/>
          <w:sz w:val="28"/>
          <w:szCs w:val="28"/>
        </w:rPr>
        <w:t>CARE REGLEMENTEAZĂ ORGANIZAREA ȘI FUNCȚIONAREA FILARMONICII DE STAT TÎRGU MUREȘ</w:t>
      </w:r>
    </w:p>
    <w:p w:rsidR="00EC37EB" w:rsidRPr="005B5FDE" w:rsidRDefault="00EC37EB" w:rsidP="005B5FDE">
      <w:pPr>
        <w:tabs>
          <w:tab w:val="left" w:pos="0"/>
        </w:tabs>
        <w:jc w:val="center"/>
        <w:rPr>
          <w:rFonts w:ascii="Trebuchet MS" w:hAnsi="Trebuchet MS"/>
          <w:b/>
          <w:sz w:val="28"/>
          <w:szCs w:val="28"/>
          <w:lang w:val="en-US"/>
        </w:rPr>
      </w:pPr>
    </w:p>
    <w:p w:rsidR="00EC37EB" w:rsidRPr="004C45C1" w:rsidRDefault="005B5FDE" w:rsidP="004C45C1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sz w:val="16"/>
          <w:szCs w:val="16"/>
        </w:rPr>
      </w:pPr>
      <w:r w:rsidRPr="004C45C1">
        <w:rPr>
          <w:rFonts w:ascii="Trebuchet MS" w:hAnsi="Trebuchet MS" w:cs="Arial"/>
          <w:color w:val="000000" w:themeColor="text1"/>
        </w:rPr>
        <w:t>Hotărârea nr.22 din 15.02.2018 a Consiliului Județean Mureș privind aprobarea Organigramei, Statului de funcții și Regulamentului de Organizare şi Funcţionare ale F</w:t>
      </w:r>
      <w:r w:rsidR="00EC37EB" w:rsidRPr="004C45C1">
        <w:rPr>
          <w:rFonts w:ascii="Trebuchet MS" w:hAnsi="Trebuchet MS" w:cs="Arial"/>
          <w:color w:val="000000" w:themeColor="text1"/>
        </w:rPr>
        <w:t xml:space="preserve">ilarmonicii de Stat Tîrgu Mureș Hotărârea nr.22 din 15.02.2018 a Consiliului Județean Mureș privind aprobarea Organigramei, Statului de funcții și Regulamentului de Organizare şi Funcţionare ale Filarmonicii de Stat Tîrgu Mureș </w:t>
      </w:r>
      <w:r w:rsidR="004C45C1">
        <w:rPr>
          <w:rFonts w:ascii="Trebuchet MS" w:hAnsi="Trebuchet MS" w:cs="Arial"/>
          <w:color w:val="000000" w:themeColor="text1"/>
        </w:rPr>
        <w:t xml:space="preserve"> </w:t>
      </w:r>
      <w:r w:rsidR="0023225E" w:rsidRPr="004C45C1">
        <w:rPr>
          <w:rFonts w:ascii="Trebuchet MS" w:hAnsi="Trebuchet MS" w:cs="Arial"/>
          <w:color w:val="000000" w:themeColor="text1"/>
        </w:rPr>
        <w:t xml:space="preserve"> </w:t>
      </w:r>
      <w:r w:rsidR="00EC37EB" w:rsidRPr="004C45C1">
        <w:rPr>
          <w:rFonts w:ascii="Trebuchet MS" w:hAnsi="Trebuchet MS" w:cs="Arial"/>
          <w:color w:val="000000" w:themeColor="text1"/>
        </w:rPr>
        <w:t>(</w:t>
      </w:r>
      <w:r w:rsidR="00EC37EB" w:rsidRPr="00EC37EB">
        <w:t xml:space="preserve"> </w:t>
      </w:r>
      <w:hyperlink r:id="rId9" w:history="1">
        <w:r w:rsidR="00EC37EB" w:rsidRPr="004C45C1">
          <w:rPr>
            <w:rStyle w:val="Hyperlink"/>
            <w:rFonts w:ascii="Trebuchet MS" w:hAnsi="Trebuchet MS"/>
            <w:sz w:val="16"/>
            <w:szCs w:val="16"/>
          </w:rPr>
          <w:t>http://www.filarmonicams.ro/upload/Regulamente/ROF%</w:t>
        </w:r>
      </w:hyperlink>
      <w:r w:rsidR="00EC37EB">
        <w:t>);</w:t>
      </w:r>
    </w:p>
    <w:p w:rsidR="004C45C1" w:rsidRPr="004C45C1" w:rsidRDefault="004C45C1" w:rsidP="004C45C1">
      <w:pPr>
        <w:pStyle w:val="ListParagraph"/>
        <w:jc w:val="both"/>
        <w:rPr>
          <w:rFonts w:ascii="Trebuchet MS" w:hAnsi="Trebuchet MS"/>
          <w:sz w:val="16"/>
          <w:szCs w:val="16"/>
        </w:rPr>
      </w:pPr>
    </w:p>
    <w:p w:rsidR="0023225E" w:rsidRPr="004C45C1" w:rsidRDefault="005B5FDE" w:rsidP="004C45C1">
      <w:pPr>
        <w:pStyle w:val="ListParagraph"/>
        <w:numPr>
          <w:ilvl w:val="0"/>
          <w:numId w:val="12"/>
        </w:numPr>
        <w:rPr>
          <w:rFonts w:ascii="Trebuchet MS" w:hAnsi="Trebuchet MS"/>
          <w:sz w:val="16"/>
          <w:szCs w:val="16"/>
        </w:rPr>
      </w:pPr>
      <w:r w:rsidRPr="004C45C1">
        <w:rPr>
          <w:rFonts w:ascii="Trebuchet MS" w:hAnsi="Trebuchet MS" w:cs="Arial"/>
          <w:color w:val="000000" w:themeColor="text1"/>
        </w:rPr>
        <w:t xml:space="preserve">Ordonanţa Guvernului României nr.21 din 31.01.2007 privind instituţiile şi companiile de spectacole sau concerte, precum și desfãșurarea activitãții de impresariat artistic, </w:t>
      </w:r>
      <w:r w:rsidRPr="004C45C1">
        <w:rPr>
          <w:rFonts w:ascii="Trebuchet MS" w:hAnsi="Trebuchet MS" w:cs="Tahoma"/>
          <w:color w:val="000000" w:themeColor="text1"/>
        </w:rPr>
        <w:t>cu modificările și completările ulterioare</w:t>
      </w:r>
      <w:r w:rsidR="0023225E" w:rsidRPr="004C45C1">
        <w:rPr>
          <w:rFonts w:ascii="Trebuchet MS" w:hAnsi="Trebuchet MS" w:cs="Arial"/>
          <w:color w:val="000000" w:themeColor="text1"/>
        </w:rPr>
        <w:t xml:space="preserve"> (</w:t>
      </w:r>
      <w:r w:rsidR="0023225E" w:rsidRPr="0023225E">
        <w:t xml:space="preserve"> </w:t>
      </w:r>
      <w:hyperlink r:id="rId10" w:history="1">
        <w:r w:rsidR="0023225E" w:rsidRPr="004C45C1">
          <w:rPr>
            <w:rStyle w:val="Hyperlink"/>
            <w:rFonts w:ascii="Trebuchet MS" w:hAnsi="Trebuchet MS"/>
            <w:sz w:val="16"/>
            <w:szCs w:val="16"/>
          </w:rPr>
          <w:t>http://legislatie.just.ro/</w:t>
        </w:r>
      </w:hyperlink>
      <w:r w:rsidR="0023225E">
        <w:t>)</w:t>
      </w:r>
      <w:r w:rsidR="004C45C1">
        <w:t>;</w:t>
      </w:r>
    </w:p>
    <w:p w:rsidR="005B5FDE" w:rsidRDefault="005B5FDE" w:rsidP="004C45C1">
      <w:pPr>
        <w:pStyle w:val="ListParagraph"/>
        <w:jc w:val="both"/>
        <w:rPr>
          <w:rFonts w:ascii="Trebuchet MS" w:hAnsi="Trebuchet MS" w:cs="Arial"/>
          <w:color w:val="000000" w:themeColor="text1"/>
        </w:rPr>
      </w:pPr>
      <w:r>
        <w:rPr>
          <w:rFonts w:ascii="Trebuchet MS" w:hAnsi="Trebuchet MS" w:cs="Arial"/>
          <w:color w:val="000000" w:themeColor="text1"/>
        </w:rPr>
        <w:t xml:space="preserve"> </w:t>
      </w:r>
    </w:p>
    <w:p w:rsidR="005B5FDE" w:rsidRDefault="005B5FDE" w:rsidP="004C45C1">
      <w:pPr>
        <w:pStyle w:val="ListParagraph"/>
        <w:numPr>
          <w:ilvl w:val="0"/>
          <w:numId w:val="12"/>
        </w:numPr>
        <w:jc w:val="both"/>
        <w:rPr>
          <w:rFonts w:ascii="Trebuchet MS" w:hAnsi="Trebuchet MS" w:cs="Arial"/>
          <w:color w:val="000000" w:themeColor="text1"/>
        </w:rPr>
      </w:pPr>
      <w:r w:rsidRPr="004C45C1">
        <w:rPr>
          <w:rFonts w:ascii="Trebuchet MS" w:hAnsi="Trebuchet MS" w:cs="Arial"/>
          <w:color w:val="000000" w:themeColor="text1"/>
        </w:rPr>
        <w:t>Legea nr.477/2004 privind Codul de conduitã a personalului contractual din autoritãțile și instituțiile publice</w:t>
      </w:r>
      <w:r w:rsidR="0023225E" w:rsidRPr="004C45C1">
        <w:rPr>
          <w:rFonts w:ascii="Trebuchet MS" w:hAnsi="Trebuchet MS" w:cs="Arial"/>
          <w:color w:val="000000" w:themeColor="text1"/>
        </w:rPr>
        <w:t xml:space="preserve"> (</w:t>
      </w:r>
      <w:r w:rsidR="0023225E" w:rsidRPr="0023225E">
        <w:t xml:space="preserve"> </w:t>
      </w:r>
      <w:hyperlink r:id="rId11" w:history="1">
        <w:r w:rsidR="0023225E" w:rsidRPr="004C45C1">
          <w:rPr>
            <w:rStyle w:val="Hyperlink"/>
            <w:rFonts w:ascii="Trebuchet MS" w:hAnsi="Trebuchet MS"/>
            <w:sz w:val="16"/>
            <w:szCs w:val="16"/>
          </w:rPr>
          <w:t>http://legislatie.just.ro/</w:t>
        </w:r>
      </w:hyperlink>
      <w:r w:rsidR="0023225E">
        <w:t>)</w:t>
      </w:r>
      <w:r w:rsidRPr="004C45C1">
        <w:rPr>
          <w:rFonts w:ascii="Trebuchet MS" w:hAnsi="Trebuchet MS" w:cs="Arial"/>
          <w:color w:val="000000" w:themeColor="text1"/>
        </w:rPr>
        <w:t>;</w:t>
      </w:r>
    </w:p>
    <w:p w:rsidR="004C45C1" w:rsidRPr="004C45C1" w:rsidRDefault="004C45C1" w:rsidP="004C45C1">
      <w:pPr>
        <w:pStyle w:val="ListParagraph"/>
        <w:rPr>
          <w:rFonts w:ascii="Trebuchet MS" w:hAnsi="Trebuchet MS" w:cs="Arial"/>
          <w:color w:val="000000" w:themeColor="text1"/>
        </w:rPr>
      </w:pPr>
    </w:p>
    <w:p w:rsidR="005B5FDE" w:rsidRPr="004C45C1" w:rsidRDefault="005B5FDE" w:rsidP="004C45C1">
      <w:pPr>
        <w:pStyle w:val="ListParagraph"/>
        <w:numPr>
          <w:ilvl w:val="0"/>
          <w:numId w:val="12"/>
        </w:numPr>
        <w:jc w:val="both"/>
        <w:rPr>
          <w:rFonts w:ascii="Trebuchet MS" w:hAnsi="Trebuchet MS" w:cs="Arial"/>
          <w:color w:val="000000" w:themeColor="text1"/>
        </w:rPr>
      </w:pPr>
      <w:r>
        <w:rPr>
          <w:rFonts w:ascii="Trebuchet MS" w:hAnsi="Trebuchet MS" w:cs="Arial"/>
          <w:color w:val="000000" w:themeColor="text1"/>
        </w:rPr>
        <w:t xml:space="preserve">Legea nr.544/2001 privind liberul acces la informațiile de interes public, </w:t>
      </w:r>
      <w:r w:rsidRPr="00EC603D">
        <w:rPr>
          <w:rFonts w:ascii="Trebuchet MS" w:hAnsi="Trebuchet MS" w:cs="Tahoma"/>
          <w:color w:val="000000" w:themeColor="text1"/>
        </w:rPr>
        <w:t>cu modificările și completările ulterioare</w:t>
      </w:r>
      <w:r w:rsidR="0023225E">
        <w:rPr>
          <w:rFonts w:ascii="Trebuchet MS" w:hAnsi="Trebuchet MS" w:cs="Tahoma"/>
          <w:color w:val="000000" w:themeColor="text1"/>
        </w:rPr>
        <w:t xml:space="preserve"> </w:t>
      </w:r>
      <w:r w:rsidR="0023225E">
        <w:rPr>
          <w:rFonts w:ascii="Trebuchet MS" w:hAnsi="Trebuchet MS" w:cs="Arial"/>
          <w:color w:val="000000" w:themeColor="text1"/>
        </w:rPr>
        <w:t>(</w:t>
      </w:r>
      <w:r w:rsidR="0023225E" w:rsidRPr="0023225E">
        <w:t xml:space="preserve"> </w:t>
      </w:r>
      <w:hyperlink r:id="rId12" w:history="1">
        <w:r w:rsidR="0023225E" w:rsidRPr="00D23E46">
          <w:rPr>
            <w:rStyle w:val="Hyperlink"/>
            <w:rFonts w:ascii="Trebuchet MS" w:hAnsi="Trebuchet MS"/>
            <w:sz w:val="16"/>
            <w:szCs w:val="16"/>
          </w:rPr>
          <w:t>http://legislatie.just.ro/</w:t>
        </w:r>
      </w:hyperlink>
      <w:r w:rsidR="0023225E">
        <w:t>)</w:t>
      </w:r>
      <w:r w:rsidR="004C45C1">
        <w:t>;</w:t>
      </w:r>
    </w:p>
    <w:p w:rsidR="004C45C1" w:rsidRPr="004C45C1" w:rsidRDefault="004C45C1" w:rsidP="004C45C1">
      <w:pPr>
        <w:pStyle w:val="ListParagraph"/>
        <w:rPr>
          <w:rFonts w:ascii="Trebuchet MS" w:hAnsi="Trebuchet MS" w:cs="Arial"/>
          <w:color w:val="000000" w:themeColor="text1"/>
        </w:rPr>
      </w:pPr>
    </w:p>
    <w:p w:rsidR="00EC37EB" w:rsidRDefault="005B5FDE" w:rsidP="004C45C1">
      <w:pPr>
        <w:pStyle w:val="ListParagraph"/>
        <w:numPr>
          <w:ilvl w:val="0"/>
          <w:numId w:val="12"/>
        </w:numPr>
        <w:jc w:val="both"/>
        <w:rPr>
          <w:rFonts w:ascii="Trebuchet MS" w:hAnsi="Trebuchet MS" w:cs="Arial"/>
          <w:color w:val="000000" w:themeColor="text1"/>
        </w:rPr>
      </w:pPr>
      <w:r w:rsidRPr="00EC37EB">
        <w:rPr>
          <w:rFonts w:ascii="Trebuchet MS" w:hAnsi="Trebuchet MS"/>
        </w:rPr>
        <w:t xml:space="preserve">Hotărârea Guvernului României nr.123/2001 pentru aprobarea Normelor metodologice de aplicare a Legii nr.544/2001 privind liberul acces la informațiile de interes public, </w:t>
      </w:r>
      <w:r w:rsidRPr="00EC37EB">
        <w:rPr>
          <w:rFonts w:ascii="Trebuchet MS" w:hAnsi="Trebuchet MS" w:cs="Tahoma"/>
          <w:color w:val="000000" w:themeColor="text1"/>
        </w:rPr>
        <w:t>cu modificările și completările</w:t>
      </w:r>
      <w:r w:rsidR="00EC37EB" w:rsidRPr="00EC37EB">
        <w:rPr>
          <w:rFonts w:ascii="Trebuchet MS" w:hAnsi="Trebuchet MS" w:cs="Tahoma"/>
          <w:color w:val="000000" w:themeColor="text1"/>
        </w:rPr>
        <w:t xml:space="preserve"> </w:t>
      </w:r>
      <w:r w:rsidR="00EC37EB" w:rsidRPr="00EC603D">
        <w:rPr>
          <w:rFonts w:ascii="Trebuchet MS" w:hAnsi="Trebuchet MS" w:cs="Tahoma"/>
          <w:color w:val="000000" w:themeColor="text1"/>
        </w:rPr>
        <w:t>ulterioare</w:t>
      </w:r>
      <w:r w:rsidR="0023225E">
        <w:rPr>
          <w:rFonts w:ascii="Trebuchet MS" w:hAnsi="Trebuchet MS" w:cs="Tahoma"/>
          <w:color w:val="000000" w:themeColor="text1"/>
        </w:rPr>
        <w:t xml:space="preserve"> </w:t>
      </w:r>
      <w:r w:rsidR="0023225E">
        <w:rPr>
          <w:rFonts w:ascii="Trebuchet MS" w:hAnsi="Trebuchet MS" w:cs="Arial"/>
          <w:color w:val="000000" w:themeColor="text1"/>
        </w:rPr>
        <w:t>(</w:t>
      </w:r>
      <w:r w:rsidR="0023225E" w:rsidRPr="0023225E">
        <w:t xml:space="preserve"> </w:t>
      </w:r>
      <w:hyperlink r:id="rId13" w:history="1">
        <w:r w:rsidR="0023225E" w:rsidRPr="00D23E46">
          <w:rPr>
            <w:rStyle w:val="Hyperlink"/>
            <w:rFonts w:ascii="Trebuchet MS" w:hAnsi="Trebuchet MS"/>
            <w:sz w:val="16"/>
            <w:szCs w:val="16"/>
          </w:rPr>
          <w:t>http://legislatie.just.ro/</w:t>
        </w:r>
      </w:hyperlink>
      <w:r w:rsidR="0023225E">
        <w:t>)</w:t>
      </w:r>
      <w:r w:rsidR="00EC37EB">
        <w:rPr>
          <w:rFonts w:ascii="Trebuchet MS" w:hAnsi="Trebuchet MS" w:cs="Arial"/>
          <w:color w:val="000000" w:themeColor="text1"/>
        </w:rPr>
        <w:t>;</w:t>
      </w:r>
    </w:p>
    <w:p w:rsidR="004C45C1" w:rsidRPr="004C45C1" w:rsidRDefault="004C45C1" w:rsidP="004C45C1">
      <w:pPr>
        <w:pStyle w:val="ListParagraph"/>
        <w:rPr>
          <w:rFonts w:ascii="Trebuchet MS" w:hAnsi="Trebuchet MS" w:cs="Arial"/>
          <w:color w:val="000000" w:themeColor="text1"/>
        </w:rPr>
      </w:pPr>
    </w:p>
    <w:p w:rsidR="003F5012" w:rsidRPr="00EC37EB" w:rsidRDefault="00EC37EB" w:rsidP="004C45C1">
      <w:pPr>
        <w:pStyle w:val="ListParagraph"/>
        <w:numPr>
          <w:ilvl w:val="0"/>
          <w:numId w:val="12"/>
        </w:numPr>
        <w:jc w:val="both"/>
        <w:rPr>
          <w:rFonts w:ascii="Trebuchet MS" w:hAnsi="Trebuchet MS" w:cs="Arial"/>
          <w:color w:val="000000" w:themeColor="text1"/>
        </w:rPr>
      </w:pPr>
      <w:r w:rsidRPr="00164134">
        <w:rPr>
          <w:rFonts w:ascii="Trebuchet MS" w:hAnsi="Trebuchet MS"/>
        </w:rPr>
        <w:t>Ordonanţa Guvernului României nr.27/2002 privind reglementarea activității de soluționare a petițiilor</w:t>
      </w:r>
      <w:r w:rsidR="0023225E">
        <w:rPr>
          <w:rFonts w:ascii="Trebuchet MS" w:hAnsi="Trebuchet MS"/>
        </w:rPr>
        <w:t xml:space="preserve"> </w:t>
      </w:r>
      <w:r w:rsidR="0023225E">
        <w:rPr>
          <w:rFonts w:ascii="Trebuchet MS" w:hAnsi="Trebuchet MS" w:cs="Arial"/>
          <w:color w:val="000000" w:themeColor="text1"/>
        </w:rPr>
        <w:t>(</w:t>
      </w:r>
      <w:r w:rsidR="0023225E" w:rsidRPr="0023225E">
        <w:t xml:space="preserve"> </w:t>
      </w:r>
      <w:hyperlink r:id="rId14" w:history="1">
        <w:r w:rsidR="0023225E" w:rsidRPr="00D23E46">
          <w:rPr>
            <w:rStyle w:val="Hyperlink"/>
            <w:rFonts w:ascii="Trebuchet MS" w:hAnsi="Trebuchet MS"/>
            <w:sz w:val="16"/>
            <w:szCs w:val="16"/>
          </w:rPr>
          <w:t>http://legislatie.just.ro/</w:t>
        </w:r>
      </w:hyperlink>
      <w:r w:rsidR="0023225E">
        <w:t>)</w:t>
      </w:r>
    </w:p>
    <w:sectPr w:rsidR="003F5012" w:rsidRPr="00EC37EB" w:rsidSect="004C45C1">
      <w:headerReference w:type="even" r:id="rId15"/>
      <w:footerReference w:type="default" r:id="rId16"/>
      <w:headerReference w:type="first" r:id="rId17"/>
      <w:pgSz w:w="11906" w:h="16838" w:code="9"/>
      <w:pgMar w:top="2552" w:right="656" w:bottom="1701" w:left="2268" w:header="709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90" w:rsidRDefault="00957F90" w:rsidP="00342558">
      <w:pPr>
        <w:spacing w:after="0" w:line="240" w:lineRule="auto"/>
      </w:pPr>
      <w:r>
        <w:separator/>
      </w:r>
    </w:p>
  </w:endnote>
  <w:endnote w:type="continuationSeparator" w:id="0">
    <w:p w:rsidR="00957F90" w:rsidRDefault="00957F90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B7" w:rsidRDefault="0010155C">
    <w:pPr>
      <w:pStyle w:val="Footer"/>
    </w:pPr>
    <w:r w:rsidRPr="0010155C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7455" o:spid="_x0000_s2087" type="#_x0000_t75" style="position:absolute;margin-left:-113.4pt;margin-top:652pt;width:595.7pt;height:73.9pt;z-index:-251657728;mso-position-horizontal-relative:margin;mso-position-vertical-relative:margin" o:allowincell="f">
          <v:imagedata r:id="rId1" o:title="13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90" w:rsidRDefault="00957F90" w:rsidP="00342558">
      <w:pPr>
        <w:spacing w:after="0" w:line="240" w:lineRule="auto"/>
      </w:pPr>
      <w:r>
        <w:separator/>
      </w:r>
    </w:p>
  </w:footnote>
  <w:footnote w:type="continuationSeparator" w:id="0">
    <w:p w:rsidR="00957F90" w:rsidRDefault="00957F90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B7" w:rsidRDefault="0010155C">
    <w:pPr>
      <w:pStyle w:val="Header"/>
    </w:pPr>
    <w:r w:rsidRPr="0010155C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7454" o:spid="_x0000_s2086" type="#_x0000_t75" style="position:absolute;margin-left:0;margin-top:0;width:595.7pt;height:73.9pt;z-index:-251658752;mso-position-horizontal:center;mso-position-horizontal-relative:margin;mso-position-vertical:center;mso-position-vertical-relative:margin" o:allowincell="f">
          <v:imagedata r:id="rId1" o:title="1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B7" w:rsidRDefault="0010155C">
    <w:pPr>
      <w:pStyle w:val="Header"/>
    </w:pPr>
    <w:r w:rsidRPr="0010155C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7453" o:spid="_x0000_s2085" type="#_x0000_t75" style="position:absolute;margin-left:0;margin-top:0;width:595.7pt;height:73.9pt;z-index:-251659776;mso-position-horizontal:center;mso-position-horizontal-relative:margin;mso-position-vertical:center;mso-position-vertical-relative:margin" o:allowincell="f">
          <v:imagedata r:id="rId1" o:title="1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D8C"/>
    <w:multiLevelType w:val="hybridMultilevel"/>
    <w:tmpl w:val="2CF2C8A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C4D97"/>
    <w:multiLevelType w:val="hybridMultilevel"/>
    <w:tmpl w:val="C2DC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26191"/>
    <w:multiLevelType w:val="hybridMultilevel"/>
    <w:tmpl w:val="86AAC872"/>
    <w:lvl w:ilvl="0" w:tplc="7650400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36FAC"/>
    <w:multiLevelType w:val="hybridMultilevel"/>
    <w:tmpl w:val="C8667D5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FC2794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DB3ED2"/>
    <w:multiLevelType w:val="singleLevel"/>
    <w:tmpl w:val="9EBAC168"/>
    <w:lvl w:ilvl="0">
      <w:start w:val="1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B56210E"/>
    <w:multiLevelType w:val="hybridMultilevel"/>
    <w:tmpl w:val="B4C20F7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8A7A65"/>
    <w:multiLevelType w:val="hybridMultilevel"/>
    <w:tmpl w:val="91D8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41B46"/>
    <w:multiLevelType w:val="hybridMultilevel"/>
    <w:tmpl w:val="EC00486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2F6BDD"/>
    <w:multiLevelType w:val="hybridMultilevel"/>
    <w:tmpl w:val="979A6B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22121"/>
    <w:multiLevelType w:val="hybridMultilevel"/>
    <w:tmpl w:val="4CB0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2558"/>
    <w:rsid w:val="000154E3"/>
    <w:rsid w:val="00022D33"/>
    <w:rsid w:val="000433C9"/>
    <w:rsid w:val="00045F3D"/>
    <w:rsid w:val="000635A4"/>
    <w:rsid w:val="00086832"/>
    <w:rsid w:val="0010155C"/>
    <w:rsid w:val="00113208"/>
    <w:rsid w:val="001273F6"/>
    <w:rsid w:val="001641E7"/>
    <w:rsid w:val="001851A5"/>
    <w:rsid w:val="001944CA"/>
    <w:rsid w:val="001A1A0C"/>
    <w:rsid w:val="001B2429"/>
    <w:rsid w:val="001D3116"/>
    <w:rsid w:val="002305F9"/>
    <w:rsid w:val="0023225E"/>
    <w:rsid w:val="00252BA8"/>
    <w:rsid w:val="00322CA5"/>
    <w:rsid w:val="003360A6"/>
    <w:rsid w:val="00342558"/>
    <w:rsid w:val="00363420"/>
    <w:rsid w:val="00392652"/>
    <w:rsid w:val="003928C8"/>
    <w:rsid w:val="003A36C9"/>
    <w:rsid w:val="003E34D6"/>
    <w:rsid w:val="003E506F"/>
    <w:rsid w:val="003F5012"/>
    <w:rsid w:val="00404A0E"/>
    <w:rsid w:val="004846C1"/>
    <w:rsid w:val="00486174"/>
    <w:rsid w:val="00486634"/>
    <w:rsid w:val="004A7F47"/>
    <w:rsid w:val="004B6EBF"/>
    <w:rsid w:val="004C45C1"/>
    <w:rsid w:val="004D1430"/>
    <w:rsid w:val="004D7C01"/>
    <w:rsid w:val="005863B5"/>
    <w:rsid w:val="005B27BB"/>
    <w:rsid w:val="005B5FDE"/>
    <w:rsid w:val="005D5122"/>
    <w:rsid w:val="00604CB0"/>
    <w:rsid w:val="0062554C"/>
    <w:rsid w:val="0064295C"/>
    <w:rsid w:val="00654992"/>
    <w:rsid w:val="00660D6D"/>
    <w:rsid w:val="006868B2"/>
    <w:rsid w:val="00687923"/>
    <w:rsid w:val="006B01B3"/>
    <w:rsid w:val="006F0CD5"/>
    <w:rsid w:val="007415B7"/>
    <w:rsid w:val="00752C93"/>
    <w:rsid w:val="007649F7"/>
    <w:rsid w:val="00797AEF"/>
    <w:rsid w:val="007F7431"/>
    <w:rsid w:val="00811EFC"/>
    <w:rsid w:val="008164FF"/>
    <w:rsid w:val="00874EC7"/>
    <w:rsid w:val="008A06D9"/>
    <w:rsid w:val="008A5EBD"/>
    <w:rsid w:val="008B39FF"/>
    <w:rsid w:val="008B7274"/>
    <w:rsid w:val="008C6934"/>
    <w:rsid w:val="008C77D2"/>
    <w:rsid w:val="008E2C57"/>
    <w:rsid w:val="009221B0"/>
    <w:rsid w:val="00930145"/>
    <w:rsid w:val="00957F90"/>
    <w:rsid w:val="0099145D"/>
    <w:rsid w:val="00993DEE"/>
    <w:rsid w:val="009B197A"/>
    <w:rsid w:val="009B6316"/>
    <w:rsid w:val="00A032F3"/>
    <w:rsid w:val="00A303E1"/>
    <w:rsid w:val="00A3695C"/>
    <w:rsid w:val="00AF03A6"/>
    <w:rsid w:val="00B070A1"/>
    <w:rsid w:val="00B14D30"/>
    <w:rsid w:val="00B1764A"/>
    <w:rsid w:val="00B215EA"/>
    <w:rsid w:val="00B24384"/>
    <w:rsid w:val="00B330BF"/>
    <w:rsid w:val="00B42892"/>
    <w:rsid w:val="00B574A4"/>
    <w:rsid w:val="00B80F1F"/>
    <w:rsid w:val="00B820A7"/>
    <w:rsid w:val="00BA31D0"/>
    <w:rsid w:val="00BA798C"/>
    <w:rsid w:val="00BD7BF3"/>
    <w:rsid w:val="00C04D89"/>
    <w:rsid w:val="00C42E4F"/>
    <w:rsid w:val="00C44E79"/>
    <w:rsid w:val="00CB5466"/>
    <w:rsid w:val="00D177BE"/>
    <w:rsid w:val="00D27CA0"/>
    <w:rsid w:val="00D32666"/>
    <w:rsid w:val="00D4458E"/>
    <w:rsid w:val="00D66D4A"/>
    <w:rsid w:val="00D93285"/>
    <w:rsid w:val="00DA248F"/>
    <w:rsid w:val="00DD3AE4"/>
    <w:rsid w:val="00DD7C8E"/>
    <w:rsid w:val="00E1398E"/>
    <w:rsid w:val="00E426B3"/>
    <w:rsid w:val="00E70FB6"/>
    <w:rsid w:val="00E71B5D"/>
    <w:rsid w:val="00E72BA3"/>
    <w:rsid w:val="00E91BC9"/>
    <w:rsid w:val="00EA398B"/>
    <w:rsid w:val="00EA47D8"/>
    <w:rsid w:val="00EC37EB"/>
    <w:rsid w:val="00ED055D"/>
    <w:rsid w:val="00ED7766"/>
    <w:rsid w:val="00EF2A06"/>
    <w:rsid w:val="00F03EF7"/>
    <w:rsid w:val="00F52DBB"/>
    <w:rsid w:val="00F96E3D"/>
    <w:rsid w:val="00F97D59"/>
    <w:rsid w:val="00FB2C9A"/>
    <w:rsid w:val="00FE2A76"/>
    <w:rsid w:val="00F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85"/>
    <w:pPr>
      <w:spacing w:after="200" w:line="288" w:lineRule="auto"/>
    </w:pPr>
    <w:rPr>
      <w:sz w:val="22"/>
      <w:szCs w:val="2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6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35A4"/>
    <w:pPr>
      <w:keepNext/>
      <w:numPr>
        <w:numId w:val="1"/>
      </w:numPr>
      <w:tabs>
        <w:tab w:val="clear" w:pos="360"/>
        <w:tab w:val="num" w:pos="1080"/>
      </w:tabs>
      <w:spacing w:after="0" w:line="240" w:lineRule="auto"/>
      <w:ind w:left="1080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35A4"/>
    <w:pPr>
      <w:keepNext/>
      <w:spacing w:after="0" w:line="240" w:lineRule="auto"/>
      <w:ind w:right="-1681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35A4"/>
    <w:pPr>
      <w:keepNext/>
      <w:spacing w:after="0" w:line="240" w:lineRule="auto"/>
      <w:ind w:right="-1681"/>
      <w:outlineLvl w:val="4"/>
    </w:pPr>
    <w:rPr>
      <w:rFonts w:ascii="Times New Roman" w:eastAsia="Times New Roman" w:hAnsi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2558"/>
  </w:style>
  <w:style w:type="paragraph" w:styleId="Footer">
    <w:name w:val="footer"/>
    <w:basedOn w:val="Normal"/>
    <w:link w:val="Foot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58"/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semiHidden/>
    <w:rsid w:val="000635A4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semiHidden/>
    <w:rsid w:val="000635A4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link w:val="Heading5"/>
    <w:semiHidden/>
    <w:rsid w:val="000635A4"/>
    <w:rPr>
      <w:rFonts w:ascii="Times New Roman" w:eastAsia="Times New Roman" w:hAnsi="Times New Roman"/>
      <w:b/>
      <w:i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0635A4"/>
    <w:pPr>
      <w:spacing w:after="0" w:line="240" w:lineRule="auto"/>
      <w:ind w:left="1416"/>
      <w:jc w:val="both"/>
    </w:pPr>
    <w:rPr>
      <w:rFonts w:ascii="Times New Roman" w:eastAsia="Times New Roman" w:hAnsi="Times New Roman"/>
      <w:b/>
      <w:i/>
      <w:sz w:val="20"/>
      <w:szCs w:val="20"/>
      <w:lang w:val="fr-FR"/>
    </w:rPr>
  </w:style>
  <w:style w:type="character" w:customStyle="1" w:styleId="BodyTextIndentChar">
    <w:name w:val="Body Text Indent Char"/>
    <w:link w:val="BodyTextIndent"/>
    <w:semiHidden/>
    <w:rsid w:val="000635A4"/>
    <w:rPr>
      <w:rFonts w:ascii="Times New Roman" w:eastAsia="Times New Roman" w:hAnsi="Times New Roman"/>
      <w:b/>
      <w:i/>
      <w:lang w:val="fr-FR"/>
    </w:rPr>
  </w:style>
  <w:style w:type="paragraph" w:styleId="NoSpacing">
    <w:name w:val="No Spacing"/>
    <w:uiPriority w:val="1"/>
    <w:qFormat/>
    <w:rsid w:val="004A7F47"/>
    <w:rPr>
      <w:rFonts w:ascii="Times New Roman" w:eastAsia="Times New Roman" w:hAnsi="Times New Roman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styleId="Strong">
    <w:name w:val="Strong"/>
    <w:basedOn w:val="DefaultParagraphFont"/>
    <w:uiPriority w:val="22"/>
    <w:qFormat/>
    <w:rsid w:val="00D66D4A"/>
    <w:rPr>
      <w:b/>
      <w:bCs/>
    </w:rPr>
  </w:style>
  <w:style w:type="character" w:customStyle="1" w:styleId="apple-converted-space">
    <w:name w:val="apple-converted-space"/>
    <w:basedOn w:val="DefaultParagraphFont"/>
    <w:rsid w:val="00D66D4A"/>
  </w:style>
  <w:style w:type="paragraph" w:customStyle="1" w:styleId="B">
    <w:name w:val="B"/>
    <w:link w:val="BCaracter"/>
    <w:rsid w:val="00ED7766"/>
    <w:pPr>
      <w:widowControl w:val="0"/>
      <w:autoSpaceDE w:val="0"/>
      <w:autoSpaceDN w:val="0"/>
      <w:adjustRightInd w:val="0"/>
      <w:spacing w:line="320" w:lineRule="exact"/>
      <w:ind w:firstLine="283"/>
      <w:jc w:val="both"/>
    </w:pPr>
    <w:rPr>
      <w:rFonts w:ascii="Times New Roman" w:eastAsia="Times New Roman" w:hAnsi="Times New Roman"/>
      <w:szCs w:val="24"/>
      <w:lang w:val="ro-RO" w:eastAsia="ro-RO"/>
    </w:rPr>
  </w:style>
  <w:style w:type="character" w:customStyle="1" w:styleId="BCaracter">
    <w:name w:val="B Caracter"/>
    <w:link w:val="B"/>
    <w:rsid w:val="00ED7766"/>
    <w:rPr>
      <w:rFonts w:ascii="Times New Roman" w:eastAsia="Times New Roman" w:hAnsi="Times New Roman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D27C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CA0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535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gislatie.just.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islatie.just.ro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tie.just.r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egislatie.just.r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ilarmonicams.ro/upload/Regulamente/ROF%25" TargetMode="External"/><Relationship Id="rId14" Type="http://schemas.openxmlformats.org/officeDocument/2006/relationships/hyperlink" Target="http://legislatie.just.r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0503-7C8B-4A7B-AB65-A67A1DAE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Piroska</cp:lastModifiedBy>
  <cp:revision>2</cp:revision>
  <cp:lastPrinted>2018-03-09T08:33:00Z</cp:lastPrinted>
  <dcterms:created xsi:type="dcterms:W3CDTF">2018-12-04T10:35:00Z</dcterms:created>
  <dcterms:modified xsi:type="dcterms:W3CDTF">2018-12-04T10:35:00Z</dcterms:modified>
</cp:coreProperties>
</file>